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B3" w:rsidRDefault="006130B3" w:rsidP="002B00BE">
      <w:pPr>
        <w:pStyle w:val="Default"/>
        <w:rPr>
          <w:sz w:val="28"/>
          <w:szCs w:val="28"/>
        </w:rPr>
      </w:pPr>
    </w:p>
    <w:p w:rsidR="0031484B" w:rsidRPr="0031484B" w:rsidRDefault="0031484B" w:rsidP="0031484B">
      <w:pPr>
        <w:spacing w:after="200" w:line="276" w:lineRule="auto"/>
        <w:jc w:val="center"/>
        <w:rPr>
          <w:rFonts w:ascii="Aller Light" w:eastAsia="+mn-ea" w:hAnsi="Aller Light" w:cs="+mn-cs"/>
          <w:b/>
          <w:color w:val="000000"/>
          <w:kern w:val="24"/>
          <w:szCs w:val="24"/>
        </w:rPr>
      </w:pPr>
      <w:r w:rsidRPr="0031484B">
        <w:rPr>
          <w:rFonts w:ascii="Aller Light" w:eastAsia="+mn-ea" w:hAnsi="Aller Light" w:cs="+mn-cs"/>
          <w:b/>
          <w:color w:val="000000"/>
          <w:kern w:val="24"/>
          <w:szCs w:val="24"/>
        </w:rPr>
        <w:t>URNIK</w:t>
      </w:r>
    </w:p>
    <w:p w:rsidR="0031484B" w:rsidRPr="0031484B" w:rsidRDefault="0031484B" w:rsidP="0031484B">
      <w:pPr>
        <w:spacing w:after="200" w:line="276" w:lineRule="auto"/>
        <w:jc w:val="center"/>
        <w:rPr>
          <w:rFonts w:ascii="Aller Light" w:eastAsia="+mn-ea" w:hAnsi="Aller Light" w:cs="+mn-cs"/>
          <w:b/>
          <w:color w:val="000000"/>
          <w:kern w:val="24"/>
          <w:sz w:val="22"/>
          <w:szCs w:val="22"/>
        </w:rPr>
      </w:pPr>
      <w:r w:rsidRPr="0031484B">
        <w:rPr>
          <w:rFonts w:ascii="Aller Light" w:eastAsia="+mn-ea" w:hAnsi="Aller Light" w:cs="+mn-cs"/>
          <w:b/>
          <w:color w:val="000000"/>
          <w:kern w:val="24"/>
          <w:sz w:val="22"/>
          <w:szCs w:val="22"/>
        </w:rPr>
        <w:t>Usposabljanje za izvajanje programa Finančna pismenost za Rome</w:t>
      </w:r>
    </w:p>
    <w:p w:rsidR="0031484B" w:rsidRPr="0031484B" w:rsidRDefault="0031484B" w:rsidP="0031484B">
      <w:pPr>
        <w:spacing w:after="200" w:line="276" w:lineRule="auto"/>
        <w:jc w:val="center"/>
        <w:rPr>
          <w:rFonts w:ascii="Aller Light" w:eastAsia="+mn-ea" w:hAnsi="Aller Light" w:cs="+mn-cs"/>
          <w:i/>
          <w:color w:val="000000"/>
          <w:kern w:val="24"/>
          <w:sz w:val="22"/>
          <w:szCs w:val="22"/>
        </w:rPr>
      </w:pPr>
      <w:r w:rsidRPr="0031484B">
        <w:rPr>
          <w:rFonts w:ascii="Aller Light" w:eastAsia="+mn-ea" w:hAnsi="Aller Light" w:cs="+mn-cs"/>
          <w:i/>
          <w:color w:val="000000"/>
          <w:kern w:val="24"/>
          <w:sz w:val="22"/>
          <w:szCs w:val="22"/>
        </w:rPr>
        <w:t>Lokacija: RIC Novo mesto, Topliška cesta 2, Novo mesto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0"/>
        <w:gridCol w:w="6382"/>
        <w:gridCol w:w="1156"/>
      </w:tblGrid>
      <w:tr w:rsidR="0031484B" w:rsidRPr="002405A6" w:rsidTr="00BD15F3">
        <w:tc>
          <w:tcPr>
            <w:tcW w:w="1750" w:type="dxa"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  <w:t>Datum /ura</w:t>
            </w:r>
          </w:p>
        </w:tc>
        <w:tc>
          <w:tcPr>
            <w:tcW w:w="6382" w:type="dxa"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  <w:t>Tema usposabljanja</w:t>
            </w:r>
          </w:p>
        </w:tc>
        <w:tc>
          <w:tcPr>
            <w:tcW w:w="1156" w:type="dxa"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  <w:t>Št. ped. ur</w:t>
            </w:r>
          </w:p>
        </w:tc>
      </w:tr>
      <w:tr w:rsidR="0031484B" w:rsidRPr="002405A6" w:rsidTr="00BD15F3">
        <w:trPr>
          <w:trHeight w:val="608"/>
        </w:trPr>
        <w:tc>
          <w:tcPr>
            <w:tcW w:w="1750" w:type="dxa"/>
            <w:vMerge w:val="restart"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  <w:p w:rsidR="0031484B" w:rsidRPr="002405A6" w:rsidRDefault="0031484B" w:rsidP="00BD15F3">
            <w:pPr>
              <w:spacing w:after="200" w:line="276" w:lineRule="auto"/>
              <w:rPr>
                <w:rFonts w:ascii="Aller Light" w:eastAsia="Calibri" w:hAnsi="Aller Light" w:cs="Arial"/>
                <w:b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="Calibri" w:hAnsi="Aller Light" w:cs="Arial"/>
                <w:b/>
                <w:sz w:val="22"/>
                <w:szCs w:val="22"/>
                <w:lang w:eastAsia="en-US"/>
              </w:rPr>
              <w:t>15. 5. 2015</w:t>
            </w:r>
          </w:p>
          <w:p w:rsidR="0031484B" w:rsidRPr="002405A6" w:rsidRDefault="0031484B" w:rsidP="00BD15F3">
            <w:pPr>
              <w:spacing w:after="200" w:line="276" w:lineRule="auto"/>
              <w:jc w:val="left"/>
              <w:rPr>
                <w:rFonts w:ascii="Aller Light" w:eastAsia="Calibri" w:hAnsi="Aller Light" w:cs="Arial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="Calibri" w:hAnsi="Aller Light" w:cs="Arial"/>
                <w:sz w:val="22"/>
                <w:szCs w:val="22"/>
                <w:lang w:eastAsia="en-US"/>
              </w:rPr>
              <w:t>od 8.30 do 15.30</w:t>
            </w:r>
          </w:p>
        </w:tc>
        <w:tc>
          <w:tcPr>
            <w:tcW w:w="6382" w:type="dxa"/>
          </w:tcPr>
          <w:p w:rsidR="0031484B" w:rsidRPr="002405A6" w:rsidRDefault="0031484B" w:rsidP="00BD15F3">
            <w:pPr>
              <w:pStyle w:val="Odstavekseznama"/>
              <w:spacing w:after="0"/>
              <w:ind w:left="34"/>
              <w:rPr>
                <w:rFonts w:ascii="Aller Light" w:eastAsiaTheme="minorHAnsi" w:hAnsi="Aller Light" w:cstheme="minorBidi"/>
              </w:rPr>
            </w:pPr>
            <w:proofErr w:type="spellStart"/>
            <w:r w:rsidRPr="002405A6">
              <w:rPr>
                <w:rFonts w:ascii="Aller Light" w:eastAsiaTheme="minorHAnsi" w:hAnsi="Aller Light" w:cstheme="minorBidi"/>
              </w:rPr>
              <w:t>Predstavitev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in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utemeljitev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programa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; </w:t>
            </w:r>
          </w:p>
          <w:p w:rsidR="0031484B" w:rsidRPr="002405A6" w:rsidRDefault="0031484B" w:rsidP="00BD15F3">
            <w:pPr>
              <w:pStyle w:val="Odstavekseznama"/>
              <w:spacing w:after="0"/>
              <w:ind w:left="34"/>
              <w:rPr>
                <w:rFonts w:ascii="Aller Light" w:eastAsiaTheme="minorHAnsi" w:hAnsi="Aller Light" w:cstheme="minorBidi"/>
              </w:rPr>
            </w:pPr>
            <w:proofErr w:type="spellStart"/>
            <w:r w:rsidRPr="002405A6">
              <w:rPr>
                <w:rFonts w:ascii="Aller Light" w:eastAsiaTheme="minorHAnsi" w:hAnsi="Aller Light" w:cstheme="minorBidi"/>
              </w:rPr>
              <w:t>Izsledki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raziskave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o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finančni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pismenosti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Romov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>;</w:t>
            </w:r>
          </w:p>
        </w:tc>
        <w:tc>
          <w:tcPr>
            <w:tcW w:w="1156" w:type="dxa"/>
            <w:vMerge w:val="restart"/>
          </w:tcPr>
          <w:p w:rsidR="0031484B" w:rsidRPr="002405A6" w:rsidRDefault="0031484B" w:rsidP="00BD15F3">
            <w:pPr>
              <w:spacing w:after="200" w:line="276" w:lineRule="auto"/>
              <w:jc w:val="center"/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</w:pPr>
          </w:p>
          <w:p w:rsidR="0031484B" w:rsidRPr="002405A6" w:rsidRDefault="0031484B" w:rsidP="00BD15F3">
            <w:pPr>
              <w:spacing w:after="200" w:line="276" w:lineRule="auto"/>
              <w:jc w:val="center"/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</w:pPr>
          </w:p>
          <w:p w:rsidR="0031484B" w:rsidRPr="002405A6" w:rsidRDefault="0031484B" w:rsidP="00BD15F3">
            <w:pPr>
              <w:spacing w:after="200" w:line="276" w:lineRule="auto"/>
              <w:jc w:val="center"/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</w:pPr>
          </w:p>
          <w:p w:rsidR="0031484B" w:rsidRPr="002405A6" w:rsidRDefault="0031484B" w:rsidP="00BD15F3">
            <w:pPr>
              <w:spacing w:after="200" w:line="276" w:lineRule="auto"/>
              <w:jc w:val="center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  <w:t>8</w:t>
            </w:r>
          </w:p>
        </w:tc>
      </w:tr>
      <w:tr w:rsidR="0031484B" w:rsidRPr="002405A6" w:rsidTr="00BD15F3">
        <w:trPr>
          <w:trHeight w:val="1392"/>
        </w:trPr>
        <w:tc>
          <w:tcPr>
            <w:tcW w:w="1750" w:type="dxa"/>
            <w:vMerge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382" w:type="dxa"/>
          </w:tcPr>
          <w:p w:rsidR="0031484B" w:rsidRPr="002405A6" w:rsidRDefault="0031484B" w:rsidP="00BD15F3">
            <w:pPr>
              <w:pStyle w:val="Odstavekseznama"/>
              <w:ind w:left="34"/>
              <w:rPr>
                <w:rFonts w:ascii="Aller Light" w:eastAsiaTheme="minorHAnsi" w:hAnsi="Aller Light" w:cstheme="minorBidi"/>
                <w:b/>
              </w:rPr>
            </w:pPr>
            <w:r w:rsidRPr="002405A6">
              <w:rPr>
                <w:rFonts w:ascii="Aller Light" w:eastAsiaTheme="minorHAnsi" w:hAnsi="Aller Light" w:cstheme="minorBidi"/>
                <w:b/>
              </w:rPr>
              <w:t xml:space="preserve">Modul 1: </w:t>
            </w:r>
            <w:proofErr w:type="spellStart"/>
            <w:r w:rsidRPr="002405A6">
              <w:rPr>
                <w:rFonts w:ascii="Aller Light" w:eastAsiaTheme="minorHAnsi" w:hAnsi="Aller Light" w:cstheme="minorBidi"/>
                <w:b/>
              </w:rPr>
              <w:t>Družinski</w:t>
            </w:r>
            <w:proofErr w:type="spellEnd"/>
            <w:r w:rsidRPr="002405A6">
              <w:rPr>
                <w:rFonts w:ascii="Aller Light" w:eastAsiaTheme="minorHAnsi" w:hAnsi="Aller Light" w:cstheme="minorBidi"/>
                <w:b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  <w:b/>
              </w:rPr>
              <w:t>proračun</w:t>
            </w:r>
            <w:proofErr w:type="spellEnd"/>
          </w:p>
          <w:p w:rsidR="0031484B" w:rsidRPr="002405A6" w:rsidRDefault="0031484B" w:rsidP="00BD15F3">
            <w:pPr>
              <w:pStyle w:val="Odstavekseznama"/>
              <w:ind w:left="34"/>
              <w:rPr>
                <w:rFonts w:ascii="Aller Light" w:eastAsiaTheme="minorHAnsi" w:hAnsi="Aller Light" w:cstheme="minorBidi"/>
              </w:rPr>
            </w:pPr>
            <w:proofErr w:type="spellStart"/>
            <w:r w:rsidRPr="002405A6">
              <w:rPr>
                <w:rFonts w:ascii="Aller Light" w:eastAsiaTheme="minorHAnsi" w:hAnsi="Aller Light" w:cstheme="minorBidi"/>
              </w:rPr>
              <w:t>P</w:t>
            </w:r>
            <w:r w:rsidRPr="00445884">
              <w:rPr>
                <w:rFonts w:ascii="Aller Light" w:eastAsiaTheme="minorHAnsi" w:hAnsi="Aller Light" w:cstheme="minorBidi"/>
              </w:rPr>
              <w:t>rihodki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; </w:t>
            </w:r>
          </w:p>
          <w:p w:rsidR="0031484B" w:rsidRPr="002405A6" w:rsidRDefault="0031484B" w:rsidP="00BD15F3">
            <w:pPr>
              <w:pStyle w:val="Odstavekseznama"/>
              <w:ind w:left="34"/>
              <w:rPr>
                <w:rFonts w:ascii="Aller Light" w:eastAsiaTheme="minorHAnsi" w:hAnsi="Aller Light" w:cstheme="minorBidi"/>
              </w:rPr>
            </w:pPr>
            <w:proofErr w:type="spellStart"/>
            <w:r w:rsidRPr="002405A6">
              <w:rPr>
                <w:rFonts w:ascii="Aller Light" w:eastAsiaTheme="minorHAnsi" w:hAnsi="Aller Light" w:cstheme="minorBidi"/>
              </w:rPr>
              <w:t>Ž</w:t>
            </w:r>
            <w:r w:rsidRPr="00445884">
              <w:rPr>
                <w:rFonts w:ascii="Aller Light" w:eastAsiaTheme="minorHAnsi" w:hAnsi="Aller Light" w:cstheme="minorBidi"/>
              </w:rPr>
              <w:t>elje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 vs. </w:t>
            </w:r>
            <w:proofErr w:type="spellStart"/>
            <w:r w:rsidRPr="00445884">
              <w:rPr>
                <w:rFonts w:ascii="Aller Light" w:eastAsiaTheme="minorHAnsi" w:hAnsi="Aller Light" w:cstheme="minorBidi"/>
              </w:rPr>
              <w:t>potrebe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; </w:t>
            </w:r>
          </w:p>
          <w:p w:rsidR="0031484B" w:rsidRPr="002405A6" w:rsidRDefault="0031484B" w:rsidP="00BD15F3">
            <w:pPr>
              <w:pStyle w:val="Odstavekseznama"/>
              <w:spacing w:after="0"/>
              <w:ind w:left="34"/>
              <w:rPr>
                <w:rFonts w:ascii="Aller Light" w:eastAsiaTheme="minorHAnsi" w:hAnsi="Aller Light" w:cstheme="minorBidi"/>
              </w:rPr>
            </w:pPr>
            <w:proofErr w:type="spellStart"/>
            <w:r w:rsidRPr="002405A6">
              <w:rPr>
                <w:rFonts w:ascii="Aller Light" w:eastAsiaTheme="minorHAnsi" w:hAnsi="Aller Light" w:cstheme="minorBidi"/>
              </w:rPr>
              <w:t>N</w:t>
            </w:r>
            <w:r w:rsidRPr="00445884">
              <w:rPr>
                <w:rFonts w:ascii="Aller Light" w:eastAsiaTheme="minorHAnsi" w:hAnsi="Aller Light" w:cstheme="minorBidi"/>
              </w:rPr>
              <w:t>ačrtovanje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445884">
              <w:rPr>
                <w:rFonts w:ascii="Aller Light" w:eastAsiaTheme="minorHAnsi" w:hAnsi="Aller Light" w:cstheme="minorBidi"/>
              </w:rPr>
              <w:t>družinskega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445884">
              <w:rPr>
                <w:rFonts w:ascii="Aller Light" w:eastAsiaTheme="minorHAnsi" w:hAnsi="Aller Light" w:cstheme="minorBidi"/>
              </w:rPr>
              <w:t>pror</w:t>
            </w:r>
            <w:r w:rsidRPr="002405A6">
              <w:rPr>
                <w:rFonts w:ascii="Aller Light" w:eastAsiaTheme="minorHAnsi" w:hAnsi="Aller Light" w:cstheme="minorBidi"/>
              </w:rPr>
              <w:t>ačuna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in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kako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pametno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trošiti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;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P</w:t>
            </w:r>
            <w:r w:rsidRPr="00445884">
              <w:rPr>
                <w:rFonts w:ascii="Aller Light" w:eastAsiaTheme="minorHAnsi" w:hAnsi="Aller Light" w:cstheme="minorBidi"/>
              </w:rPr>
              <w:t>omembnost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445884">
              <w:rPr>
                <w:rFonts w:ascii="Aller Light" w:eastAsiaTheme="minorHAnsi" w:hAnsi="Aller Light" w:cstheme="minorBidi"/>
              </w:rPr>
              <w:t>dobrih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445884">
              <w:rPr>
                <w:rFonts w:ascii="Aller Light" w:eastAsiaTheme="minorHAnsi" w:hAnsi="Aller Light" w:cstheme="minorBidi"/>
              </w:rPr>
              <w:t>nakupovalnih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445884">
              <w:rPr>
                <w:rFonts w:ascii="Aller Light" w:eastAsiaTheme="minorHAnsi" w:hAnsi="Aller Light" w:cstheme="minorBidi"/>
              </w:rPr>
              <w:t>praks</w:t>
            </w:r>
            <w:proofErr w:type="spellEnd"/>
            <w:r w:rsidRPr="00445884">
              <w:rPr>
                <w:rFonts w:ascii="Aller Light" w:eastAsiaTheme="minorHAnsi" w:hAnsi="Aller Light" w:cstheme="minorBidi"/>
              </w:rPr>
              <w:t xml:space="preserve">; </w:t>
            </w:r>
            <w:proofErr w:type="spellStart"/>
            <w:r w:rsidR="00B47DDB">
              <w:rPr>
                <w:rFonts w:ascii="Aller Light" w:eastAsiaTheme="minorHAnsi" w:hAnsi="Aller Light" w:cstheme="minorBidi"/>
              </w:rPr>
              <w:t>k</w:t>
            </w:r>
            <w:r w:rsidRPr="002405A6">
              <w:rPr>
                <w:rFonts w:ascii="Aller Light" w:eastAsiaTheme="minorHAnsi" w:hAnsi="Aller Light" w:cstheme="minorBidi"/>
              </w:rPr>
              <w:t>ontroliranje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 xml:space="preserve"> </w:t>
            </w:r>
            <w:proofErr w:type="spellStart"/>
            <w:r w:rsidRPr="002405A6">
              <w:rPr>
                <w:rFonts w:ascii="Aller Light" w:eastAsiaTheme="minorHAnsi" w:hAnsi="Aller Light" w:cstheme="minorBidi"/>
              </w:rPr>
              <w:t>porabe</w:t>
            </w:r>
            <w:proofErr w:type="spellEnd"/>
            <w:r w:rsidRPr="002405A6">
              <w:rPr>
                <w:rFonts w:ascii="Aller Light" w:eastAsiaTheme="minorHAnsi" w:hAnsi="Aller Light" w:cstheme="minorBidi"/>
              </w:rPr>
              <w:t>;</w:t>
            </w:r>
          </w:p>
        </w:tc>
        <w:tc>
          <w:tcPr>
            <w:tcW w:w="1156" w:type="dxa"/>
            <w:vMerge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</w:tc>
      </w:tr>
      <w:tr w:rsidR="0031484B" w:rsidRPr="002405A6" w:rsidTr="00BD15F3">
        <w:trPr>
          <w:trHeight w:val="1048"/>
        </w:trPr>
        <w:tc>
          <w:tcPr>
            <w:tcW w:w="1750" w:type="dxa"/>
            <w:vMerge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382" w:type="dxa"/>
          </w:tcPr>
          <w:p w:rsidR="0031484B" w:rsidRPr="00445884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  <w:t>Modul 2: Varčevanje za prihodnost</w:t>
            </w:r>
          </w:p>
          <w:p w:rsidR="0031484B" w:rsidRPr="002405A6" w:rsidRDefault="0031484B" w:rsidP="00BD15F3">
            <w:pPr>
              <w:spacing w:after="200" w:line="276" w:lineRule="auto"/>
              <w:ind w:left="34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P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ostavljanje ciljev in osnove varčevanja; </w:t>
            </w:r>
          </w:p>
          <w:p w:rsidR="0031484B" w:rsidRPr="002405A6" w:rsidRDefault="0031484B" w:rsidP="00BD15F3">
            <w:pPr>
              <w:spacing w:after="200" w:line="276" w:lineRule="auto"/>
              <w:ind w:left="34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Možnosti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 varčevanja; </w:t>
            </w: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s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plošna priporočila </w:t>
            </w: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za varčevanje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; </w:t>
            </w:r>
          </w:p>
          <w:p w:rsidR="0031484B" w:rsidRPr="002405A6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Načrtovanje varčevanja; </w:t>
            </w:r>
          </w:p>
          <w:p w:rsidR="0031484B" w:rsidRPr="002405A6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V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arčevanje </w:t>
            </w: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v bankah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56" w:type="dxa"/>
            <w:vMerge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</w:tc>
      </w:tr>
      <w:tr w:rsidR="0031484B" w:rsidRPr="002405A6" w:rsidTr="00BD15F3">
        <w:trPr>
          <w:trHeight w:val="1037"/>
        </w:trPr>
        <w:tc>
          <w:tcPr>
            <w:tcW w:w="1750" w:type="dxa"/>
            <w:vMerge w:val="restart"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Calibri" w:hAnsi="Aller Light" w:cs="Arial"/>
                <w:b/>
                <w:sz w:val="22"/>
                <w:szCs w:val="22"/>
                <w:lang w:eastAsia="en-US"/>
              </w:rPr>
            </w:pPr>
          </w:p>
          <w:p w:rsidR="0031484B" w:rsidRPr="002405A6" w:rsidRDefault="0031484B" w:rsidP="00BD15F3">
            <w:pPr>
              <w:spacing w:after="200" w:line="276" w:lineRule="auto"/>
              <w:rPr>
                <w:rFonts w:ascii="Aller Light" w:eastAsia="Calibri" w:hAnsi="Aller Light" w:cs="Arial"/>
                <w:b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="Calibri" w:hAnsi="Aller Light" w:cs="Arial"/>
                <w:b/>
                <w:sz w:val="22"/>
                <w:szCs w:val="22"/>
                <w:lang w:eastAsia="en-US"/>
              </w:rPr>
              <w:t>21. 5. 2015</w:t>
            </w:r>
          </w:p>
          <w:p w:rsidR="0031484B" w:rsidRPr="002405A6" w:rsidRDefault="0031484B" w:rsidP="00BD15F3">
            <w:pPr>
              <w:spacing w:after="200" w:line="276" w:lineRule="auto"/>
              <w:rPr>
                <w:rFonts w:ascii="Aller Light" w:eastAsia="Calibri" w:hAnsi="Aller Light" w:cs="Arial"/>
                <w:b/>
                <w:i/>
                <w:sz w:val="22"/>
                <w:szCs w:val="22"/>
                <w:lang w:eastAsia="en-US"/>
              </w:rPr>
            </w:pPr>
          </w:p>
          <w:p w:rsidR="0031484B" w:rsidRPr="002405A6" w:rsidRDefault="0031484B" w:rsidP="00BD15F3">
            <w:pPr>
              <w:spacing w:after="200" w:line="276" w:lineRule="auto"/>
              <w:jc w:val="left"/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Calibri" w:hAnsi="Aller Light" w:cs="Arial"/>
                <w:sz w:val="22"/>
                <w:szCs w:val="22"/>
                <w:lang w:eastAsia="en-US"/>
              </w:rPr>
              <w:t>od 8.30 do 15.30</w:t>
            </w:r>
          </w:p>
        </w:tc>
        <w:tc>
          <w:tcPr>
            <w:tcW w:w="6382" w:type="dxa"/>
          </w:tcPr>
          <w:p w:rsidR="0031484B" w:rsidRPr="00445884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  <w:t>Modul 3: Izposoja s premislekom</w:t>
            </w:r>
          </w:p>
          <w:p w:rsidR="0031484B" w:rsidRPr="002405A6" w:rsidRDefault="0031484B" w:rsidP="00BD15F3">
            <w:pPr>
              <w:spacing w:after="200" w:line="276" w:lineRule="auto"/>
              <w:ind w:left="34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Upravljanje dolgov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; </w:t>
            </w:r>
          </w:p>
          <w:p w:rsidR="0031484B" w:rsidRPr="002405A6" w:rsidRDefault="0031484B" w:rsidP="00BD15F3">
            <w:pPr>
              <w:spacing w:after="200" w:line="276" w:lineRule="auto"/>
              <w:ind w:left="34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S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troški </w:t>
            </w: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sposojanja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; </w:t>
            </w:r>
          </w:p>
          <w:p w:rsidR="0031484B" w:rsidRPr="002405A6" w:rsidRDefault="0031484B" w:rsidP="00BD15F3">
            <w:pPr>
              <w:spacing w:after="200" w:line="276" w:lineRule="auto"/>
              <w:ind w:left="34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I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zbira posojilodajalca in vrste posojila; </w:t>
            </w:r>
          </w:p>
          <w:p w:rsidR="0031484B" w:rsidRPr="002405A6" w:rsidRDefault="0031484B" w:rsidP="00BD15F3">
            <w:pPr>
              <w:spacing w:after="200" w:line="276" w:lineRule="auto"/>
              <w:ind w:left="34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 xml:space="preserve">Nadzor, 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kontrola zadolževanja;</w:t>
            </w:r>
          </w:p>
        </w:tc>
        <w:tc>
          <w:tcPr>
            <w:tcW w:w="1156" w:type="dxa"/>
            <w:vMerge w:val="restart"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  <w:p w:rsidR="0031484B" w:rsidRPr="002405A6" w:rsidRDefault="0031484B" w:rsidP="00BD15F3">
            <w:pPr>
              <w:spacing w:after="200" w:line="276" w:lineRule="auto"/>
              <w:jc w:val="center"/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  <w:t>8</w:t>
            </w:r>
          </w:p>
        </w:tc>
      </w:tr>
      <w:tr w:rsidR="0031484B" w:rsidRPr="002405A6" w:rsidTr="00BD15F3">
        <w:trPr>
          <w:trHeight w:val="979"/>
        </w:trPr>
        <w:tc>
          <w:tcPr>
            <w:tcW w:w="1750" w:type="dxa"/>
            <w:vMerge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6382" w:type="dxa"/>
          </w:tcPr>
          <w:p w:rsidR="0031484B" w:rsidRPr="002405A6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  <w:t>Modul 4: Povečaj svoje prihodke</w:t>
            </w:r>
            <w:r w:rsidRPr="00445884">
              <w:rPr>
                <w:rFonts w:ascii="Aller Light" w:eastAsiaTheme="minorHAnsi" w:hAnsi="Aller Light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  <w:p w:rsidR="0031484B" w:rsidRPr="002405A6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I</w:t>
            </w:r>
            <w:r w:rsidRPr="00445884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skanje z</w:t>
            </w: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aposlitve in (samo)zaposlovanje</w:t>
            </w:r>
          </w:p>
          <w:p w:rsidR="0031484B" w:rsidRPr="002405A6" w:rsidRDefault="0031484B" w:rsidP="00BD15F3">
            <w:pPr>
              <w:spacing w:after="200" w:line="276" w:lineRule="auto"/>
              <w:contextualSpacing/>
              <w:jc w:val="left"/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</w:pPr>
            <w:r w:rsidRPr="002405A6">
              <w:rPr>
                <w:rFonts w:ascii="Aller Light" w:eastAsiaTheme="minorHAnsi" w:hAnsi="Aller Light" w:cstheme="minorBidi"/>
                <w:sz w:val="22"/>
                <w:szCs w:val="22"/>
                <w:lang w:eastAsia="en-US"/>
              </w:rPr>
              <w:t>Zaključna evalvacija programa</w:t>
            </w:r>
          </w:p>
        </w:tc>
        <w:tc>
          <w:tcPr>
            <w:tcW w:w="1156" w:type="dxa"/>
            <w:vMerge/>
          </w:tcPr>
          <w:p w:rsidR="0031484B" w:rsidRPr="002405A6" w:rsidRDefault="0031484B" w:rsidP="00BD15F3">
            <w:pPr>
              <w:spacing w:after="200" w:line="276" w:lineRule="auto"/>
              <w:rPr>
                <w:rFonts w:ascii="Aller Light" w:eastAsia="+mn-ea" w:hAnsi="Aller Light" w:cs="+mn-cs"/>
                <w:b/>
                <w:i/>
                <w:color w:val="000000"/>
                <w:kern w:val="24"/>
                <w:sz w:val="22"/>
                <w:szCs w:val="22"/>
              </w:rPr>
            </w:pPr>
          </w:p>
        </w:tc>
      </w:tr>
      <w:tr w:rsidR="0031484B" w:rsidRPr="002405A6" w:rsidTr="00BD15F3">
        <w:trPr>
          <w:trHeight w:val="425"/>
        </w:trPr>
        <w:tc>
          <w:tcPr>
            <w:tcW w:w="9288" w:type="dxa"/>
            <w:gridSpan w:val="3"/>
          </w:tcPr>
          <w:p w:rsidR="0031484B" w:rsidRPr="002405A6" w:rsidRDefault="0031484B" w:rsidP="00BD15F3">
            <w:pPr>
              <w:spacing w:line="276" w:lineRule="auto"/>
              <w:jc w:val="center"/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</w:pPr>
            <w:r w:rsidRPr="002405A6">
              <w:rPr>
                <w:rFonts w:ascii="Aller Light" w:eastAsia="+mn-ea" w:hAnsi="Aller Light" w:cs="+mn-cs"/>
                <w:color w:val="000000"/>
                <w:kern w:val="24"/>
                <w:sz w:val="22"/>
                <w:szCs w:val="22"/>
              </w:rPr>
              <w:t>Med 15. in 22. 5. 2015 aktivno udejstvovanje v spletni učilnici.</w:t>
            </w:r>
          </w:p>
        </w:tc>
      </w:tr>
    </w:tbl>
    <w:p w:rsidR="0031484B" w:rsidRPr="002405A6" w:rsidRDefault="0031484B" w:rsidP="0031484B">
      <w:pPr>
        <w:spacing w:line="276" w:lineRule="auto"/>
        <w:rPr>
          <w:rFonts w:ascii="Aller Light" w:eastAsia="Calibri" w:hAnsi="Aller Light"/>
          <w:b/>
          <w:i/>
          <w:sz w:val="22"/>
          <w:szCs w:val="22"/>
          <w:lang w:eastAsia="en-US"/>
        </w:rPr>
      </w:pPr>
    </w:p>
    <w:p w:rsidR="0031484B" w:rsidRDefault="0031484B" w:rsidP="0031484B">
      <w:r>
        <w:rPr>
          <w:rFonts w:ascii="Aller Light" w:eastAsia="Calibri" w:hAnsi="Aller Light" w:cs="Calibri"/>
          <w:sz w:val="22"/>
          <w:szCs w:val="22"/>
          <w:lang w:eastAsia="en-US"/>
        </w:rPr>
        <w:t xml:space="preserve">24-urni program usposabljanja </w:t>
      </w:r>
      <w:r w:rsidRPr="00793474">
        <w:rPr>
          <w:rFonts w:ascii="Aller Light" w:eastAsia="Calibri" w:hAnsi="Aller Light" w:cs="Calibri"/>
          <w:sz w:val="22"/>
          <w:szCs w:val="22"/>
          <w:lang w:eastAsia="en-US"/>
        </w:rPr>
        <w:t>bo potekal tako v tradicio</w:t>
      </w:r>
      <w:r>
        <w:rPr>
          <w:rFonts w:ascii="Aller Light" w:eastAsia="Calibri" w:hAnsi="Aller Light" w:cs="Calibri"/>
          <w:sz w:val="22"/>
          <w:szCs w:val="22"/>
          <w:lang w:eastAsia="en-US"/>
        </w:rPr>
        <w:t>nalni kot tudi spletni učilnici, in sicer v obliki p</w:t>
      </w:r>
      <w:r w:rsidR="004801F2">
        <w:rPr>
          <w:rFonts w:ascii="Aller Light" w:eastAsia="Calibri" w:hAnsi="Aller Light" w:cs="Calibri"/>
          <w:sz w:val="22"/>
          <w:szCs w:val="22"/>
          <w:lang w:eastAsia="en-US"/>
        </w:rPr>
        <w:t>redavanj, razgovorov, delavnic ipd.</w:t>
      </w:r>
    </w:p>
    <w:p w:rsidR="00B53D55" w:rsidRDefault="00B53D55" w:rsidP="002B00BE">
      <w:pPr>
        <w:pStyle w:val="Default"/>
        <w:rPr>
          <w:sz w:val="28"/>
          <w:szCs w:val="28"/>
        </w:rPr>
      </w:pPr>
    </w:p>
    <w:p w:rsidR="00B53D55" w:rsidRPr="00793474" w:rsidRDefault="00B53D55" w:rsidP="00B53D55">
      <w:pPr>
        <w:rPr>
          <w:rFonts w:ascii="Aller Light" w:eastAsia="Calibri" w:hAnsi="Aller Light" w:cs="Arial"/>
          <w:sz w:val="22"/>
          <w:szCs w:val="22"/>
          <w:lang w:eastAsia="en-US"/>
        </w:rPr>
      </w:pPr>
      <w:r>
        <w:rPr>
          <w:rFonts w:ascii="Aller Light" w:eastAsia="Calibri" w:hAnsi="Aller Light" w:cs="Arial"/>
          <w:sz w:val="22"/>
          <w:szCs w:val="22"/>
          <w:lang w:eastAsia="en-US"/>
        </w:rPr>
        <w:t xml:space="preserve">Izvajalke usposabljanja: </w:t>
      </w:r>
      <w:r w:rsidRPr="00793474">
        <w:rPr>
          <w:rFonts w:ascii="Aller Light" w:eastAsia="Calibri" w:hAnsi="Aller Light" w:cs="Arial"/>
          <w:sz w:val="22"/>
          <w:szCs w:val="22"/>
          <w:lang w:eastAsia="en-US"/>
        </w:rPr>
        <w:t xml:space="preserve"> Alenka Lipej </w:t>
      </w:r>
      <w:proofErr w:type="spellStart"/>
      <w:r w:rsidRPr="00793474">
        <w:rPr>
          <w:rFonts w:ascii="Aller Light" w:eastAsia="Calibri" w:hAnsi="Aller Light" w:cs="Arial"/>
          <w:sz w:val="22"/>
          <w:szCs w:val="22"/>
          <w:lang w:eastAsia="en-US"/>
        </w:rPr>
        <w:t>Kastrevc</w:t>
      </w:r>
      <w:proofErr w:type="spellEnd"/>
      <w:r w:rsidRPr="00793474">
        <w:rPr>
          <w:rFonts w:ascii="Aller Light" w:eastAsia="Calibri" w:hAnsi="Aller Light" w:cs="Arial"/>
          <w:sz w:val="22"/>
          <w:szCs w:val="22"/>
          <w:lang w:eastAsia="en-US"/>
        </w:rPr>
        <w:t xml:space="preserve"> (izkušena učiteljica ekonomskih vsebin), mag. Gabi Ogulin Počrvina (andragoginja, razvijalka programa</w:t>
      </w:r>
      <w:r>
        <w:rPr>
          <w:rFonts w:ascii="Aller Light" w:eastAsia="Calibri" w:hAnsi="Aller Light" w:cs="Arial"/>
          <w:sz w:val="22"/>
          <w:szCs w:val="22"/>
          <w:lang w:eastAsia="en-US"/>
        </w:rPr>
        <w:t xml:space="preserve">) in </w:t>
      </w:r>
      <w:r w:rsidRPr="00793474">
        <w:rPr>
          <w:rFonts w:ascii="Aller Light" w:eastAsia="Calibri" w:hAnsi="Aller Light" w:cs="Arial"/>
          <w:sz w:val="22"/>
          <w:szCs w:val="22"/>
          <w:lang w:eastAsia="en-US"/>
        </w:rPr>
        <w:t xml:space="preserve">bančna uslužbenka iz NLB. </w:t>
      </w: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</w:p>
    <w:p w:rsidR="0031484B" w:rsidRDefault="0031484B" w:rsidP="002B00BE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3148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BE" w:rsidRDefault="002B00BE" w:rsidP="002B00BE">
      <w:r>
        <w:separator/>
      </w:r>
    </w:p>
  </w:endnote>
  <w:endnote w:type="continuationSeparator" w:id="0">
    <w:p w:rsidR="002B00BE" w:rsidRDefault="002B00BE" w:rsidP="002B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ler Light">
    <w:panose1 w:val="0200050300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073"/>
      <w:gridCol w:w="5339"/>
      <w:gridCol w:w="1876"/>
    </w:tblGrid>
    <w:tr w:rsidR="00EA2B33" w:rsidRPr="00EA2B33" w:rsidTr="007F4F3E">
      <w:tc>
        <w:tcPr>
          <w:tcW w:w="1116" w:type="pct"/>
          <w:hideMark/>
        </w:tcPr>
        <w:p w:rsidR="00EA2B33" w:rsidRPr="00EA2B33" w:rsidRDefault="00EA2B33" w:rsidP="00EA2B33">
          <w:pPr>
            <w:tabs>
              <w:tab w:val="center" w:pos="4536"/>
              <w:tab w:val="right" w:pos="9072"/>
            </w:tabs>
            <w:ind w:right="-1"/>
          </w:pPr>
          <w:r>
            <w:rPr>
              <w:noProof/>
            </w:rPr>
            <w:drawing>
              <wp:inline distT="0" distB="0" distL="0" distR="0" wp14:anchorId="66BF3B43" wp14:editId="5151798B">
                <wp:extent cx="1057275" cy="359410"/>
                <wp:effectExtent l="0" t="0" r="9525" b="2540"/>
                <wp:docPr id="1" name="Slika 1" descr="LL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L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pct"/>
          <w:hideMark/>
        </w:tcPr>
        <w:p w:rsidR="00EA2B33" w:rsidRPr="006130B3" w:rsidRDefault="00EA2B33" w:rsidP="00EA2B33">
          <w:pPr>
            <w:tabs>
              <w:tab w:val="center" w:pos="4536"/>
              <w:tab w:val="right" w:pos="9072"/>
            </w:tabs>
            <w:ind w:right="-1"/>
            <w:rPr>
              <w:rFonts w:cs="Arial"/>
              <w:sz w:val="16"/>
              <w:szCs w:val="16"/>
            </w:rPr>
          </w:pPr>
          <w:proofErr w:type="spellStart"/>
          <w:r w:rsidRPr="006130B3">
            <w:rPr>
              <w:rFonts w:cs="Arial"/>
              <w:sz w:val="16"/>
              <w:szCs w:val="16"/>
            </w:rPr>
            <w:t>The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project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FINALLY is </w:t>
          </w:r>
          <w:proofErr w:type="spellStart"/>
          <w:r w:rsidRPr="006130B3">
            <w:rPr>
              <w:rFonts w:cs="Arial"/>
              <w:sz w:val="16"/>
              <w:szCs w:val="16"/>
            </w:rPr>
            <w:t>co</w:t>
          </w:r>
          <w:proofErr w:type="spellEnd"/>
          <w:r w:rsidRPr="006130B3">
            <w:rPr>
              <w:rFonts w:cs="Arial"/>
              <w:sz w:val="16"/>
              <w:szCs w:val="16"/>
            </w:rPr>
            <w:t>-</w:t>
          </w:r>
          <w:proofErr w:type="spellStart"/>
          <w:r w:rsidRPr="006130B3">
            <w:rPr>
              <w:rFonts w:cs="Arial"/>
              <w:sz w:val="16"/>
              <w:szCs w:val="16"/>
            </w:rPr>
            <w:t>funded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by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the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Lifelong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Learning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Programme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of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the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6130B3">
            <w:rPr>
              <w:rFonts w:cs="Arial"/>
              <w:sz w:val="16"/>
              <w:szCs w:val="16"/>
            </w:rPr>
            <w:t>European</w:t>
          </w:r>
          <w:proofErr w:type="spellEnd"/>
          <w:r w:rsidRPr="006130B3">
            <w:rPr>
              <w:rFonts w:cs="Arial"/>
              <w:sz w:val="16"/>
              <w:szCs w:val="16"/>
            </w:rPr>
            <w:t xml:space="preserve"> Union.</w:t>
          </w:r>
        </w:p>
      </w:tc>
      <w:tc>
        <w:tcPr>
          <w:tcW w:w="1010" w:type="pct"/>
          <w:hideMark/>
        </w:tcPr>
        <w:p w:rsidR="00EA2B33" w:rsidRPr="00EA2B33" w:rsidRDefault="00EA2B33" w:rsidP="00EA2B33">
          <w:pPr>
            <w:tabs>
              <w:tab w:val="center" w:pos="4536"/>
              <w:tab w:val="right" w:pos="9072"/>
            </w:tabs>
            <w:ind w:right="-1"/>
          </w:pPr>
        </w:p>
      </w:tc>
    </w:tr>
  </w:tbl>
  <w:p w:rsidR="00EA2B33" w:rsidRDefault="00EA2B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BE" w:rsidRDefault="002B00BE" w:rsidP="002B00BE">
      <w:r>
        <w:separator/>
      </w:r>
    </w:p>
  </w:footnote>
  <w:footnote w:type="continuationSeparator" w:id="0">
    <w:p w:rsidR="002B00BE" w:rsidRDefault="002B00BE" w:rsidP="002B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BE" w:rsidRDefault="006130B3" w:rsidP="002B00BE">
    <w:pPr>
      <w:tabs>
        <w:tab w:val="center" w:pos="4320"/>
        <w:tab w:val="right" w:pos="8640"/>
      </w:tabs>
      <w:jc w:val="center"/>
      <w:rPr>
        <w:rFonts w:ascii="Calibri" w:hAnsi="Calibri" w:cs="Arial"/>
        <w:noProof/>
        <w:sz w:val="20"/>
        <w:lang w:val="en-GB"/>
      </w:rPr>
    </w:pPr>
    <w:r w:rsidRPr="002B00BE">
      <w:rPr>
        <w:rFonts w:ascii="Verdana" w:hAnsi="Verdana"/>
        <w:noProof/>
        <w:color w:val="3966BF"/>
        <w:sz w:val="18"/>
        <w:szCs w:val="18"/>
      </w:rPr>
      <w:drawing>
        <wp:anchor distT="0" distB="0" distL="114300" distR="114300" simplePos="0" relativeHeight="251661312" behindDoc="1" locked="0" layoutInCell="1" allowOverlap="1" wp14:anchorId="0EE1DB98" wp14:editId="09B20966">
          <wp:simplePos x="0" y="0"/>
          <wp:positionH relativeFrom="column">
            <wp:posOffset>4923155</wp:posOffset>
          </wp:positionH>
          <wp:positionV relativeFrom="paragraph">
            <wp:posOffset>-12065</wp:posOffset>
          </wp:positionV>
          <wp:extent cx="1204595" cy="405765"/>
          <wp:effectExtent l="0" t="0" r="0" b="0"/>
          <wp:wrapSquare wrapText="bothSides"/>
          <wp:docPr id="3" name="Slika 3" descr="Project Finally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Project Finally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0BE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E1F43DB" wp14:editId="607AEC11">
          <wp:simplePos x="0" y="0"/>
          <wp:positionH relativeFrom="column">
            <wp:posOffset>-2540</wp:posOffset>
          </wp:positionH>
          <wp:positionV relativeFrom="paragraph">
            <wp:posOffset>-10795</wp:posOffset>
          </wp:positionV>
          <wp:extent cx="1003935" cy="325755"/>
          <wp:effectExtent l="0" t="0" r="5715" b="0"/>
          <wp:wrapTight wrapText="bothSides">
            <wp:wrapPolygon edited="0">
              <wp:start x="0" y="0"/>
              <wp:lineTo x="0" y="20211"/>
              <wp:lineTo x="21313" y="20211"/>
              <wp:lineTo x="21313" y="0"/>
              <wp:lineTo x="0" y="0"/>
            </wp:wrapPolygon>
          </wp:wrapTight>
          <wp:docPr id="2" name="Slika 2" descr="RIC 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IC 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00BE" w:rsidRPr="006130B3" w:rsidRDefault="002B00BE" w:rsidP="002B00BE">
    <w:pPr>
      <w:tabs>
        <w:tab w:val="center" w:pos="4320"/>
        <w:tab w:val="right" w:pos="8640"/>
      </w:tabs>
      <w:jc w:val="center"/>
      <w:rPr>
        <w:rFonts w:cs="Arial"/>
        <w:noProof/>
        <w:sz w:val="16"/>
        <w:szCs w:val="16"/>
        <w:lang w:val="en-GB"/>
      </w:rPr>
    </w:pPr>
    <w:r w:rsidRPr="006130B3">
      <w:rPr>
        <w:rFonts w:cs="Arial"/>
        <w:noProof/>
        <w:sz w:val="16"/>
        <w:szCs w:val="16"/>
        <w:lang w:val="en-GB"/>
      </w:rPr>
      <w:t>Project FINALLY</w:t>
    </w:r>
  </w:p>
  <w:p w:rsidR="002B00BE" w:rsidRPr="006130B3" w:rsidRDefault="002B00BE" w:rsidP="002B00BE">
    <w:pPr>
      <w:tabs>
        <w:tab w:val="center" w:pos="4320"/>
        <w:tab w:val="right" w:pos="8640"/>
      </w:tabs>
      <w:jc w:val="center"/>
      <w:rPr>
        <w:rFonts w:cs="Arial"/>
        <w:sz w:val="16"/>
        <w:szCs w:val="16"/>
        <w:lang w:val="en-GB"/>
      </w:rPr>
    </w:pPr>
    <w:r w:rsidRPr="006130B3">
      <w:rPr>
        <w:rFonts w:cs="Arial"/>
        <w:noProof/>
        <w:sz w:val="16"/>
        <w:szCs w:val="16"/>
        <w:lang w:val="en-GB"/>
      </w:rPr>
      <w:t>Project reference number: 527860-LLP-1-2012-1-SI-GRUNTVIG-GMP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F84"/>
    <w:multiLevelType w:val="hybridMultilevel"/>
    <w:tmpl w:val="7D6AF0DC"/>
    <w:lvl w:ilvl="0" w:tplc="16DC6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BE"/>
    <w:rsid w:val="002A4819"/>
    <w:rsid w:val="002B00BE"/>
    <w:rsid w:val="003034A4"/>
    <w:rsid w:val="0031484B"/>
    <w:rsid w:val="00343D91"/>
    <w:rsid w:val="00366F54"/>
    <w:rsid w:val="004801F2"/>
    <w:rsid w:val="00527045"/>
    <w:rsid w:val="006130B3"/>
    <w:rsid w:val="0063755C"/>
    <w:rsid w:val="00856087"/>
    <w:rsid w:val="00B47DDB"/>
    <w:rsid w:val="00B53D55"/>
    <w:rsid w:val="00EA2B33"/>
    <w:rsid w:val="00F4410D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8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B00BE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B00B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B00B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B00BE"/>
  </w:style>
  <w:style w:type="paragraph" w:styleId="Noga">
    <w:name w:val="footer"/>
    <w:basedOn w:val="Navaden"/>
    <w:link w:val="NogaZnak"/>
    <w:uiPriority w:val="99"/>
    <w:unhideWhenUsed/>
    <w:rsid w:val="002B00B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00B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B33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B3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1484B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2"/>
      <w:szCs w:val="22"/>
      <w:lang w:val="de-AT" w:eastAsia="en-US"/>
    </w:rPr>
  </w:style>
  <w:style w:type="table" w:styleId="Tabelamrea">
    <w:name w:val="Table Grid"/>
    <w:basedOn w:val="Navadnatabela"/>
    <w:uiPriority w:val="59"/>
    <w:rsid w:val="0031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48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B00BE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2B00B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B00B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B00BE"/>
  </w:style>
  <w:style w:type="paragraph" w:styleId="Noga">
    <w:name w:val="footer"/>
    <w:basedOn w:val="Navaden"/>
    <w:link w:val="NogaZnak"/>
    <w:uiPriority w:val="99"/>
    <w:unhideWhenUsed/>
    <w:rsid w:val="002B00BE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B00B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B33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B3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31484B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2"/>
      <w:szCs w:val="22"/>
      <w:lang w:val="de-AT" w:eastAsia="en-US"/>
    </w:rPr>
  </w:style>
  <w:style w:type="table" w:styleId="Tabelamrea">
    <w:name w:val="Table Grid"/>
    <w:basedOn w:val="Navadnatabela"/>
    <w:uiPriority w:val="59"/>
    <w:rsid w:val="0031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5759-ADCA-47EF-875B-51BCC8B7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Ogulin</dc:creator>
  <cp:lastModifiedBy>Gabi Ogulin</cp:lastModifiedBy>
  <cp:revision>3</cp:revision>
  <cp:lastPrinted>2015-05-04T07:33:00Z</cp:lastPrinted>
  <dcterms:created xsi:type="dcterms:W3CDTF">2015-05-05T11:47:00Z</dcterms:created>
  <dcterms:modified xsi:type="dcterms:W3CDTF">2015-05-05T11:47:00Z</dcterms:modified>
</cp:coreProperties>
</file>